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2676D">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2510685</w:t>
      </w:r>
    </w:p>
    <w:p w14:paraId="0F315F6E">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202</w:t>
      </w:r>
      <w:r>
        <w:rPr>
          <w:rFonts w:hint="eastAsia" w:eastAsia="宋体" w:cs="Arial"/>
          <w:b/>
          <w:sz w:val="24"/>
          <w:szCs w:val="24"/>
          <w:lang w:val="en-US" w:eastAsia="zh-CN"/>
        </w:rPr>
        <w:t>5</w:t>
      </w:r>
    </w:p>
    <w:p w14:paraId="019935B9">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E1E409C">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7B88A034">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SBFD</w:t>
      </w:r>
    </w:p>
    <w:p w14:paraId="66646756">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7.21.4.2</w:t>
      </w:r>
    </w:p>
    <w:p w14:paraId="1D065665">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22D50F4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bookmarkStart w:id="0" w:name="_GoBack"/>
      <w:bookmarkEnd w:id="0"/>
    </w:p>
    <w:p w14:paraId="30111BDC">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last meeting, good discussion were held and a great many progress were achieved in [1] around the RRM impacts of SBFD operation. In this paper, we provide our further views on the remaining issues of the RRM impacts of SBFD operation also based on the meanwhile RAN1 progress.</w:t>
      </w:r>
    </w:p>
    <w:p w14:paraId="0F807E00">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6BCEDE4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Regarding the requirements for RACH, based on RAN2 progress, the RACH occasion switch between legacy RACH occasions and additional RACH occasions are allowed to accelerate the RACH procedure. Such RACH occasions switch is still not captured into RAN4 spec, which leads to inconsistency between RAN2 and RAN4 specification.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51B3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952E609">
            <w:pPr>
              <w:pStyle w:val="29"/>
              <w:numPr>
                <w:ilvl w:val="1"/>
                <w:numId w:val="5"/>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 xml:space="preserve">Proposal 1: </w:t>
            </w:r>
          </w:p>
          <w:p w14:paraId="4A911C8C">
            <w:pPr>
              <w:pStyle w:val="29"/>
              <w:numPr>
                <w:ilvl w:val="2"/>
                <w:numId w:val="5"/>
              </w:numPr>
              <w:ind w:firstLineChars="0"/>
              <w:rPr>
                <w:rFonts w:hint="eastAsia" w:cs="Arial"/>
                <w:vertAlign w:val="baseline"/>
                <w:lang w:val="en-US" w:eastAsia="zh-CN"/>
              </w:rPr>
            </w:pPr>
            <w:r>
              <w:t xml:space="preserve">The requirements for 4-step RA type in clause 6.2.2.2 are updated to take into account the RO-type change procedure on RO type selection from legacy RO to additional RO in SBFD symbols, and the RO type selection from additional RO to legacy RO, as agreed in RAN2. </w:t>
            </w:r>
          </w:p>
        </w:tc>
      </w:tr>
    </w:tbl>
    <w:p w14:paraId="472DA0E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All RAN2 relevant progress were summarized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CAAE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4337805">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eastAsia="宋体"/>
                <w:lang w:val="en-US" w:eastAsia="zh-CN"/>
              </w:rPr>
            </w:pPr>
            <w:r>
              <w:rPr>
                <w:rFonts w:hint="eastAsia" w:eastAsia="宋体"/>
                <w:highlight w:val="green"/>
                <w:lang w:val="en-US" w:eastAsia="zh-CN"/>
              </w:rPr>
              <w:t xml:space="preserve">Agreement </w:t>
            </w:r>
            <w:r>
              <w:rPr>
                <w:rFonts w:hint="eastAsia" w:eastAsia="宋体"/>
                <w:lang w:val="en-US" w:eastAsia="zh-CN"/>
              </w:rPr>
              <w:t>in RAN2#127bis meeting:</w:t>
            </w:r>
          </w:p>
          <w:p w14:paraId="13AED34D">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lang w:val="en-US"/>
              </w:rPr>
            </w:pPr>
            <w:r>
              <w:rPr>
                <w:lang w:val="en-US"/>
              </w:rPr>
              <w:t>For the PRACH transmission re-attempt in one RACH procedure, after certain (configured) number of times of RACH attempt in SBFD RACH occasions, UE is allowed to switch to legacy RACH occasions. FFS about the case when UE select legacy ROs first.  </w:t>
            </w:r>
          </w:p>
          <w:p w14:paraId="4142273C">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lang w:val="en-US"/>
              </w:rPr>
            </w:pPr>
            <w:r>
              <w:rPr>
                <w:rFonts w:hint="eastAsia" w:eastAsia="宋体"/>
                <w:highlight w:val="green"/>
                <w:lang w:val="en-US" w:eastAsia="zh-CN"/>
              </w:rPr>
              <w:t xml:space="preserve">Agreement </w:t>
            </w:r>
            <w:r>
              <w:rPr>
                <w:rFonts w:hint="eastAsia" w:eastAsia="宋体"/>
                <w:lang w:val="en-US" w:eastAsia="zh-CN"/>
              </w:rPr>
              <w:t>in RAN2#128bis meeting:</w:t>
            </w:r>
          </w:p>
          <w:p w14:paraId="6C1D94E8">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lang w:val="en-US" w:eastAsia="zh-CN"/>
              </w:rPr>
            </w:pPr>
            <w:r>
              <w:rPr>
                <w:lang w:val="en-US" w:eastAsia="zh-CN"/>
              </w:rPr>
              <w:t xml:space="preserve">RO-Type change procedure on RO type selection from legacy RO to additional RO in SBFD symbols is supported when the number of PRACH transmission attempts exceed a threshold (we assume it is the same threshold with the fallback from additional RO to legacy RO). If fallback from legacy RO to additional RO occurs, no further fallback to legacy RO is supported. </w:t>
            </w:r>
          </w:p>
          <w:p w14:paraId="46F49835">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lang w:val="en-US"/>
              </w:rPr>
            </w:pPr>
            <w:r>
              <w:rPr>
                <w:rFonts w:hint="eastAsia" w:eastAsia="宋体"/>
                <w:highlight w:val="green"/>
                <w:lang w:val="en-US" w:eastAsia="zh-CN"/>
              </w:rPr>
              <w:t xml:space="preserve">Agreement </w:t>
            </w:r>
            <w:r>
              <w:rPr>
                <w:rFonts w:hint="eastAsia" w:eastAsia="宋体"/>
                <w:lang w:val="en-US" w:eastAsia="zh-CN"/>
              </w:rPr>
              <w:t>in RAN2#130 meeting:</w:t>
            </w:r>
          </w:p>
          <w:p w14:paraId="7C55FFFC">
            <w:pPr>
              <w:pStyle w:val="65"/>
              <w:numPr>
                <w:ilvl w:val="0"/>
                <w:numId w:val="0"/>
              </w:numPr>
              <w:rPr>
                <w:rFonts w:hint="default"/>
                <w:lang w:val="en-US" w:eastAsia="zh-CN"/>
              </w:rPr>
            </w:pPr>
            <w:r>
              <w:rPr>
                <w:rFonts w:ascii="Arial" w:hAnsi="Arial" w:eastAsia="MS Mincho" w:cs="Times New Roman"/>
                <w:b w:val="0"/>
                <w:szCs w:val="24"/>
                <w:lang w:val="en-US" w:eastAsia="zh-CN" w:bidi="ar-SA"/>
              </w:rPr>
              <w:t>F</w:t>
            </w:r>
            <w:r>
              <w:rPr>
                <w:rFonts w:hint="eastAsia" w:ascii="Arial" w:hAnsi="Arial" w:eastAsia="MS Mincho" w:cs="Times New Roman"/>
                <w:b w:val="0"/>
                <w:szCs w:val="24"/>
                <w:lang w:val="en-US" w:eastAsia="zh-CN" w:bidi="ar-SA"/>
              </w:rPr>
              <w:t xml:space="preserve">or L3 HO and BFR cases, CSI-RS based CFRA using SBFD RO is supported from RAN2 perspective. </w:t>
            </w:r>
            <w:r>
              <w:rPr>
                <w:rFonts w:ascii="Arial" w:hAnsi="Arial" w:eastAsia="MS Mincho" w:cs="Times New Roman"/>
                <w:b w:val="0"/>
                <w:szCs w:val="24"/>
                <w:lang w:val="en-US" w:eastAsia="zh-CN" w:bidi="ar-SA"/>
              </w:rPr>
              <w:t>S</w:t>
            </w:r>
            <w:r>
              <w:rPr>
                <w:rFonts w:hint="eastAsia" w:ascii="Arial" w:hAnsi="Arial" w:eastAsia="MS Mincho" w:cs="Times New Roman"/>
                <w:b w:val="0"/>
                <w:szCs w:val="24"/>
                <w:lang w:val="en-US" w:eastAsia="zh-CN" w:bidi="ar-SA"/>
              </w:rPr>
              <w:t xml:space="preserve">end LS to RAN1/4 to inform </w:t>
            </w:r>
            <w:r>
              <w:rPr>
                <w:rFonts w:ascii="Arial" w:hAnsi="Arial" w:eastAsia="MS Mincho" w:cs="Times New Roman"/>
                <w:b w:val="0"/>
                <w:szCs w:val="24"/>
                <w:lang w:val="en-US" w:eastAsia="zh-CN" w:bidi="ar-SA"/>
              </w:rPr>
              <w:t>this</w:t>
            </w:r>
            <w:r>
              <w:rPr>
                <w:rFonts w:hint="eastAsia" w:ascii="Arial" w:hAnsi="Arial" w:eastAsia="MS Mincho" w:cs="Times New Roman"/>
                <w:b w:val="0"/>
                <w:szCs w:val="24"/>
                <w:lang w:val="en-US" w:eastAsia="zh-CN" w:bidi="ar-SA"/>
              </w:rPr>
              <w:t xml:space="preserve"> conclusion. </w:t>
            </w:r>
          </w:p>
        </w:tc>
      </w:tr>
    </w:tbl>
    <w:p w14:paraId="0B44FE3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cs="Arial"/>
          <w:lang w:val="en-US" w:eastAsia="zh-CN"/>
        </w:rPr>
        <w:t xml:space="preserve">Furthermore, it should be noted that for CFRA including L3 HO and BFR cases, RAN2 confirmed the CSI-RS based additional RO in SBFD symbols and sent LS to inform RAN1 and RAN4 in [2]. Which implies for SSB based CBRA and CFRA, the RO type change between legacy SSB based RO and additional SSB based RO </w:t>
      </w:r>
      <w:r>
        <w:rPr>
          <w:lang w:val="en-US" w:eastAsia="zh-CN"/>
        </w:rPr>
        <w:t>in SBFD symbols</w:t>
      </w:r>
      <w:r>
        <w:rPr>
          <w:rFonts w:hint="eastAsia"/>
          <w:lang w:val="en-US" w:eastAsia="zh-CN"/>
        </w:rPr>
        <w:t xml:space="preserve"> </w:t>
      </w:r>
      <w:r>
        <w:rPr>
          <w:rFonts w:hint="eastAsia" w:cs="Arial"/>
          <w:lang w:val="en-US" w:eastAsia="zh-CN"/>
        </w:rPr>
        <w:t xml:space="preserve">is allowed. At the meanwhile, for the CSI-RS based CFRA for L3 HO and BFR cases, the RO type change between legacy CSI-RS based RO and additional CSI-RS based RO </w:t>
      </w:r>
      <w:r>
        <w:rPr>
          <w:lang w:val="en-US" w:eastAsia="zh-CN"/>
        </w:rPr>
        <w:t>in SBFD symbols</w:t>
      </w:r>
      <w:r>
        <w:rPr>
          <w:rFonts w:hint="eastAsia"/>
          <w:lang w:val="en-US" w:eastAsia="zh-CN"/>
        </w:rPr>
        <w:t xml:space="preserve"> </w:t>
      </w:r>
      <w:r>
        <w:rPr>
          <w:rFonts w:hint="eastAsia" w:cs="Arial"/>
          <w:lang w:val="en-US" w:eastAsia="zh-CN"/>
        </w:rPr>
        <w:t>is allowed as well. We can not see any concern on RAN2 decision. The relevant updates in clause 6.2.2.2.1 and 6.2.2.2.2 are needed to capture the RAN2 progress.</w:t>
      </w:r>
    </w:p>
    <w:p w14:paraId="1CC41C1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1: The requirements for 4-step RA type in clause 6.2.2.2.1 and 6.2.2.2.2 are updated to take into account the RO-type change procedure on RO type selection from legacy RO to additional RO in SBFD symbols, and the RO type selection from additional RO to legacy RO, as agreed in RAN2. </w:t>
      </w:r>
    </w:p>
    <w:p w14:paraId="52166B8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SSB based, the RO-type change is allowed for CBRA and CFRA;</w:t>
      </w:r>
    </w:p>
    <w:p w14:paraId="7548DAD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CSI-RS based, the RO-type change is allowed for L3 HO and BFR cases of CFRA.</w:t>
      </w:r>
    </w:p>
    <w:p w14:paraId="2A277270">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2: Regarding the RAN2 LS sent to RAN4 and RAN1 in R2-2504951, no need to reply as no concern observed.</w:t>
      </w:r>
    </w:p>
    <w:p w14:paraId="39212AB2">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14:paraId="00DDA849">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6D71501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1: The requirements for 4-step RA type in clause 6.2.2.2.1 and 6.2.2.2.2 are updated to take into account the RO-type change procedure on RO type selection from legacy RO to additional RO in SBFD symbols, and the RO type selection from additional RO to legacy RO, as agreed in RAN2. </w:t>
      </w:r>
    </w:p>
    <w:p w14:paraId="0800036B">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SSB based, the RO-type change is allowed for CBRA and CFRA;</w:t>
      </w:r>
    </w:p>
    <w:p w14:paraId="51783CE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CSI-RS based, the RO-type change is allowed for L3 HO and BFR cases of CFRA.</w:t>
      </w:r>
    </w:p>
    <w:p w14:paraId="177EC5F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2: Regarding the RAN2 LS sent to RAN4 and RAN1 in R2-2504951, no need to reply as no concern observed.</w:t>
      </w:r>
    </w:p>
    <w:p w14:paraId="4BC3935A">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3998E55A">
      <w:pPr>
        <w:pStyle w:val="10"/>
        <w:numPr>
          <w:ilvl w:val="0"/>
          <w:numId w:val="6"/>
        </w:numPr>
        <w:ind w:leftChars="0"/>
        <w:rPr>
          <w:rFonts w:hint="eastAsia"/>
          <w:color w:val="auto"/>
          <w:sz w:val="20"/>
          <w:szCs w:val="20"/>
          <w:highlight w:val="none"/>
          <w:lang w:val="en-US" w:eastAsia="zh-CN"/>
        </w:rPr>
      </w:pPr>
      <w:r>
        <w:rPr>
          <w:rFonts w:hint="eastAsia"/>
          <w:lang w:val="en-US" w:eastAsia="zh-CN"/>
        </w:rPr>
        <w:t xml:space="preserve">R4-2508274,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RAN4#115, 2025.</w:t>
      </w:r>
    </w:p>
    <w:p w14:paraId="17B4A33E">
      <w:pPr>
        <w:pStyle w:val="10"/>
        <w:numPr>
          <w:ilvl w:val="0"/>
          <w:numId w:val="6"/>
        </w:numPr>
        <w:ind w:leftChars="0"/>
        <w:rPr>
          <w:rFonts w:hint="eastAsia"/>
          <w:color w:val="auto"/>
          <w:sz w:val="20"/>
          <w:szCs w:val="20"/>
          <w:highlight w:val="none"/>
          <w:lang w:val="en-US" w:eastAsia="zh-CN"/>
        </w:rPr>
      </w:pPr>
      <w:r>
        <w:rPr>
          <w:rFonts w:hint="eastAsia" w:cs="Arial"/>
          <w:color w:val="000000"/>
          <w:sz w:val="22"/>
          <w:lang w:val="en-US" w:eastAsia="zh-CN"/>
        </w:rPr>
        <w:t xml:space="preserve">R2-2504951, </w:t>
      </w:r>
      <w:r>
        <w:rPr>
          <w:rFonts w:hint="default" w:cs="Arial"/>
          <w:color w:val="000000"/>
          <w:sz w:val="22"/>
          <w:lang w:val="en-US" w:eastAsia="zh-CN"/>
        </w:rPr>
        <w:t>“LS on CSI-RS based CFRA using SBFD RO”</w:t>
      </w:r>
      <w:r>
        <w:rPr>
          <w:rFonts w:hint="eastAsia" w:cs="Arial"/>
          <w:color w:val="000000"/>
          <w:sz w:val="22"/>
          <w:lang w:val="en-US" w:eastAsia="zh-CN"/>
        </w:rPr>
        <w:t>, ZTE, 3GPP RAN2#130, 2025.</w:t>
      </w:r>
    </w:p>
    <w:p w14:paraId="4C180FF0">
      <w:pPr>
        <w:pStyle w:val="10"/>
        <w:numPr>
          <w:ilvl w:val="0"/>
          <w:numId w:val="0"/>
        </w:numPr>
        <w:ind w:leftChars="0"/>
        <w:rPr>
          <w:rFonts w:hint="eastAsia"/>
          <w:color w:val="auto"/>
          <w:sz w:val="20"/>
          <w:szCs w:val="20"/>
          <w:highlight w:val="none"/>
          <w:lang w:val="en-US" w:eastAsia="zh-CN"/>
        </w:rPr>
      </w:pPr>
    </w:p>
    <w:p w14:paraId="6BECB45B">
      <w:pPr>
        <w:pStyle w:val="10"/>
        <w:numPr>
          <w:ilvl w:val="0"/>
          <w:numId w:val="0"/>
        </w:numPr>
        <w:ind w:leftChars="0"/>
        <w:rPr>
          <w:rFonts w:hint="eastAsia"/>
          <w:color w:val="auto"/>
          <w:sz w:val="20"/>
          <w:szCs w:val="20"/>
          <w:highlight w:val="none"/>
          <w:lang w:val="en-US" w:eastAsia="zh-CN"/>
        </w:rPr>
      </w:pPr>
    </w:p>
    <w:p w14:paraId="4AE744D6">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7424A">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5">
    <w:nsid w:val="70146DC0"/>
    <w:multiLevelType w:val="multilevel"/>
    <w:tmpl w:val="70146DC0"/>
    <w:lvl w:ilvl="0" w:tentative="0">
      <w:start w:val="1"/>
      <w:numFmt w:val="bullet"/>
      <w:pStyle w:val="65"/>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000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B66C9C"/>
    <w:rsid w:val="07CD3CDD"/>
    <w:rsid w:val="07CE116F"/>
    <w:rsid w:val="07D24A1A"/>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03876"/>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35FFC"/>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A01868"/>
    <w:rsid w:val="34C43C38"/>
    <w:rsid w:val="34CB2E3B"/>
    <w:rsid w:val="34CD1A98"/>
    <w:rsid w:val="34CF2BD8"/>
    <w:rsid w:val="34ED1C61"/>
    <w:rsid w:val="34F04638"/>
    <w:rsid w:val="351457B8"/>
    <w:rsid w:val="35371275"/>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8A6D9F"/>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23045"/>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EC15A4"/>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9A4C5D"/>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06112"/>
    <w:rsid w:val="72F41282"/>
    <w:rsid w:val="72FE7563"/>
    <w:rsid w:val="730E1467"/>
    <w:rsid w:val="732715E5"/>
    <w:rsid w:val="73357973"/>
    <w:rsid w:val="733D0D32"/>
    <w:rsid w:val="733D2693"/>
    <w:rsid w:val="73417693"/>
    <w:rsid w:val="73461D91"/>
    <w:rsid w:val="734F0CE7"/>
    <w:rsid w:val="73503BBC"/>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Agreement"/>
    <w:basedOn w:val="1"/>
    <w:next w:val="66"/>
    <w:qFormat/>
    <w:uiPriority w:val="99"/>
    <w:pPr>
      <w:numPr>
        <w:ilvl w:val="0"/>
        <w:numId w:val="3"/>
      </w:numPr>
      <w:spacing w:before="60"/>
    </w:pPr>
    <w:rPr>
      <w:b/>
    </w:rPr>
  </w:style>
  <w:style w:type="paragraph" w:customStyle="1" w:styleId="66">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7</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2025-08-15T14:55:02Z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